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Chakana actualización del proyecto</w:t>
      </w:r>
    </w:p>
    <w:p>
      <w:pPr>
        <w:pStyle w:val="Subtitle"/>
      </w:pPr>
      <w:r>
        <w:t>Fabricación en taller, iluminación y prototipo de un metro</w:t>
      </w:r>
    </w:p>
    <w:p>
      <w:r>
        <w:t>Esta revisión reúne las decisiones para preparar la obra de 3 × 3 m y probar su lenguaje de luz en un prototipo independiente. La prioridad es cortar, perforar, probar y etiquetar antes del viaje, conservando el centro circular y las dos columnas continuas de 3 m.</w:t>
      </w:r>
    </w:p>
    <w:p>
      <w:r>
        <w:drawing>
          <wp:inline xmlns:a="http://schemas.openxmlformats.org/drawingml/2006/main" xmlns:pic="http://schemas.openxmlformats.org/drawingml/2006/picture">
            <wp:extent cx="1980000" cy="24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i-huasi-built-chakana-202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475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xmlns:a="http://schemas.openxmlformats.org/drawingml/2006/main" xmlns:pic="http://schemas.openxmlformats.org/drawingml/2006/picture">
            <wp:extent cx="3456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o_fren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Izquierda: obra construida de Inti Huasi, referencia aportada al proyecto. Derecha: modelo actual de 3 m. La foto inspira materialidad; las medidas las gobiernan los planos.</w:t>
      </w:r>
    </w:p>
    <w:p>
      <w:pPr>
        <w:pStyle w:val="Heading2"/>
      </w:pPr>
      <w:r>
        <w:t>Qué cambia en esta revisión</w:t>
      </w:r>
    </w:p>
    <w:p>
      <w:r>
        <w:t>Catálogo con 28 familias y 166 piezas visibles; inventario por paquete; 25 repuestos precortados; ocho líneas LED frontales de 600 mm; prototipo de 1 m con despiece propio. Las familias agrupan sección y largo de blanco: cada perfil final se verifica por ID.</w:t>
      </w:r>
    </w:p>
    <w:p>
      <w:r>
        <w:t>Materiales de la obra de 3 m: ARS 2.829.792, referencia orientativa v10 con 15% de reserva. Se mantienen aparte los alquileres ideales de sonido y energía. No constituye una cotización firme ni una liberación de estructura.</w:t>
      </w:r>
    </w:p>
    <w:p>
      <w:pPr>
        <w:pStyle w:val="Heading2"/>
      </w:pPr>
      <w:r>
        <w:t>Acceso al proyecto</w:t>
      </w:r>
    </w:p>
    <w:p>
      <w:r>
        <w:t>Sitio con acceso privado del propietario. Los enlaces requieren una sesión autorizada; compartir este PDF no concede acceso al sitio.</w:t>
      </w:r>
    </w:p>
    <w:p>
      <w:pPr>
        <w:spacing w:after="60"/>
      </w:pPr>
      <w:hyperlink r:id="rId12">
        <w:r>
          <w:rPr>
            <w:color w:val="A43126"/>
            <w:sz w:val="19"/>
          </w:rPr>
          <w:t>Proyecto y documentación  ↗</w:t>
        </w:r>
      </w:hyperlink>
    </w:p>
    <w:p>
      <w:pPr>
        <w:spacing w:after="60"/>
      </w:pPr>
      <w:hyperlink r:id="rId13">
        <w:r>
          <w:rPr>
            <w:color w:val="A43126"/>
            <w:sz w:val="19"/>
          </w:rPr>
          <w:t>Catálogo de piezas dibujadas  ↗</w:t>
        </w:r>
      </w:hyperlink>
    </w:p>
    <w:p>
      <w:pPr>
        <w:spacing w:after="60"/>
      </w:pPr>
      <w:hyperlink r:id="rId14">
        <w:r>
          <w:rPr>
            <w:color w:val="A43126"/>
            <w:sz w:val="19"/>
          </w:rPr>
          <w:t>Empaque e inventario  ↗</w:t>
        </w:r>
      </w:hyperlink>
    </w:p>
    <w:p>
      <w:pPr>
        <w:spacing w:after="60"/>
      </w:pPr>
      <w:hyperlink r:id="rId15">
        <w:r>
          <w:rPr>
            <w:color w:val="A43126"/>
            <w:sz w:val="19"/>
          </w:rPr>
          <w:t>Prototipo de un metro  ↗</w:t>
        </w:r>
      </w:hyperlink>
    </w:p>
    <w:p>
      <w:r>
        <w:br w:type="page"/>
      </w:r>
    </w:p>
    <w:p>
      <w:pPr>
        <w:pStyle w:val="Heading1"/>
      </w:pPr>
      <w:r>
        <w:t>Piezas y paquetes para el taller</w:t>
      </w:r>
    </w:p>
    <w:p>
      <w:r>
        <w:t>166 IDs únicos en 12 paquetes de madera. Cuatro paquetes de 17 tablas forman la fachada; no son paneles rígidos autoportantes. Cuatro piezas del centro continúan diferidas y deben resolverse antes de despachar el lote si buscamos llegar sin trabajo de sierra.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4536000" cy="283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atro_pano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Distribución de los cuatro cuadrantes de fachada. El inventario asigna cada pieza una sola vez.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4989"/>
        <w:gridCol w:w="1134"/>
        <w:gridCol w:w="2494"/>
      </w:tblGrid>
      <w:tr>
        <w:trPr>
          <w:cantSplit/>
        </w:trPr>
        <w:tc>
          <w:tcPr>
            <w:tcW w:type="dxa" w:w="1134"/>
            <w:shd w:fill="E7EBDD"/>
          </w:tcPr>
          <w:p>
            <w:pPr>
              <w:spacing w:after="60" w:before="40"/>
            </w:pPr>
            <w:r>
              <w:rPr>
                <w:b/>
                <w:sz w:val="18"/>
              </w:rPr>
              <w:t>Paquete</w:t>
            </w:r>
          </w:p>
        </w:tc>
        <w:tc>
          <w:tcPr>
            <w:tcW w:type="dxa" w:w="4989"/>
            <w:shd w:fill="E7EBDD"/>
          </w:tcPr>
          <w:p>
            <w:pPr>
              <w:spacing w:after="60" w:before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1134"/>
            <w:shd w:fill="E7EBDD"/>
          </w:tcPr>
          <w:p>
            <w:pPr>
              <w:spacing w:after="60" w:before="40"/>
            </w:pPr>
            <w:r>
              <w:rPr>
                <w:b/>
                <w:sz w:val="18"/>
              </w:rPr>
              <w:t>Piezas</w:t>
            </w:r>
          </w:p>
        </w:tc>
        <w:tc>
          <w:tcPr>
            <w:tcW w:type="dxa" w:w="2494"/>
            <w:shd w:fill="E7EBDD"/>
          </w:tcPr>
          <w:p>
            <w:pPr>
              <w:spacing w:after="60" w:before="40"/>
            </w:pPr>
            <w:r>
              <w:rPr>
                <w:b/>
                <w:sz w:val="18"/>
              </w:rPr>
              <w:t>Máximo geom. mm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Q1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Fachada inferior izquierda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1040.10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Q2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Fachada inferior derecha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1040.10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Q3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Fachada superior izquierda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1040.10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Q4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Fachada superior derecha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1040.10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MF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Marco frontal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1134.22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MT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Marco trasero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1134.22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Separadores de profundidad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690.00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PO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Columnas continuas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3000.00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ME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Mesa y brazos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1970.00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RI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Diagonales y travesaños posteriores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1830.00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SF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Soportes de fachada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1044.22</w:t>
            </w:r>
          </w:p>
        </w:tc>
      </w:tr>
      <w:tr>
        <w:trPr>
          <w:cantSplit/>
        </w:trPr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CE</w:t>
            </w:r>
          </w:p>
        </w:tc>
        <w:tc>
          <w:tcPr>
            <w:tcW w:type="dxa" w:w="4989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Centro diferido</w:t>
            </w:r>
          </w:p>
        </w:tc>
        <w:tc>
          <w:tcPr>
            <w:tcW w:type="dxa" w:w="113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494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1224.22</w:t>
            </w:r>
          </w:p>
        </w:tc>
      </w:tr>
    </w:tbl>
    <w:p>
      <w:pPr>
        <w:pStyle w:val="Heading2"/>
      </w:pPr>
      <w:r>
        <w:t>25 repuestos aprovechando la reserva</w:t>
      </w:r>
    </w:p>
    <w:p>
      <w:r>
        <w:t>8 piezas de 45×45, 1 poste de 70×70, 12 tablas de fachada y 4 de mesa. Consumen las seis barras ya reservadas, si sobreviven a defectos y retrabajos. Compra adicional prevista: cero. Después no queda ninguna barra entera de reserva; los remanentes están detallados por barra.</w:t>
      </w:r>
    </w:p>
    <w:p>
      <w:pPr>
        <w:spacing w:after="60"/>
      </w:pPr>
      <w:hyperlink r:id="rId17">
        <w:r>
          <w:rPr>
            <w:color w:val="A43126"/>
            <w:sz w:val="19"/>
          </w:rPr>
          <w:t>Repuestos con ID y dibujo  ↗</w:t>
        </w:r>
      </w:hyperlink>
    </w:p>
    <w:p>
      <w:pPr>
        <w:spacing w:after="60"/>
      </w:pPr>
      <w:hyperlink r:id="rId18">
        <w:r>
          <w:rPr>
            <w:color w:val="A43126"/>
            <w:sz w:val="19"/>
          </w:rPr>
          <w:t>Plan de precorte y hoja H3  ↗</w:t>
        </w:r>
      </w:hyperlink>
    </w:p>
    <w:p>
      <w:r>
        <w:br w:type="page"/>
      </w:r>
    </w:p>
    <w:p>
      <w:pPr>
        <w:pStyle w:val="Heading1"/>
      </w:pPr>
      <w:r>
        <w:t>Luz frontal y escena nocturna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724000" cy="3577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cena_fiesta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35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Simulación visual v11 en entorno inspirado en Tandil. El render conserva el modelo actual; no es un cálculo fotométrico ni representa una fiesta realizada.</w:t>
      </w:r>
    </w:p>
    <w:p>
      <w:r>
        <w:t>Ocho tramos diagonales de 600 mm suman 4,8 m de luz frontal. El sistema completo conserva 20,4 m nominales de LED: contorno, aro y diagonales. El montaje y los perfiles se resuelven según la lámina y su lista de cortes, con conectores orientados y acceso para mantenimiento. Conciliar y cotizar cuatro puentes y ocho terminaciones dentro del lote provisional; no asumir diferencia de costo cero.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960000" cy="281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yout_LED_v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ESP32 con modo autónomo y control desde Chromatik. La puesta combina madera visible, centro circular luminoso y movimientos simétricos. Ensayar brillo y escenas sin flashes agresivos antes del montaje. Separar alimentación, datos y audio; verificar protecciones, conexiones y resguardo real ante lluvia.</w:t>
      </w:r>
    </w:p>
    <w:p>
      <w:pPr>
        <w:spacing w:after="60"/>
      </w:pPr>
      <w:hyperlink r:id="rId21">
        <w:r>
          <w:rPr>
            <w:color w:val="A43126"/>
            <w:sz w:val="19"/>
          </w:rPr>
          <w:t>Modelo 3D y simulación de luz  ↗</w:t>
        </w:r>
      </w:hyperlink>
    </w:p>
    <w:p>
      <w:pPr>
        <w:spacing w:after="60"/>
      </w:pPr>
      <w:hyperlink r:id="rId22">
        <w:r>
          <w:rPr>
            <w:color w:val="A43126"/>
            <w:sz w:val="19"/>
          </w:rPr>
          <w:t>Lámina de ubicación frontal  ↗</w:t>
        </w:r>
      </w:hyperlink>
    </w:p>
    <w:p>
      <w:r>
        <w:br w:type="page"/>
      </w:r>
    </w:p>
    <w:p>
      <w:pPr>
        <w:pStyle w:val="Heading1"/>
      </w:pPr>
      <w:r>
        <w:t>Prototipo de un metro</w:t>
      </w:r>
    </w:p>
    <w:p>
      <w:r>
        <w:t>Objetivo de terminación: 10 de noviembre de 2026. Pieza de 1000 × 1000 mm, círculo central de Ø378,07 mm y estructura propia de 19 piezas. Sirve para probar forma, montaje y luces en interior, sin mesa DJ, personas ni equipos encima. No valida la capacidad de la obra de 3 m.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672000" cy="370347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zad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72000" cy="3703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Alzado reducido para lectura. Para cortar, descargar las plantillas originales y verificar la escala; esta página no es una plantilla 1:1.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7200"/>
      </w:tblGrid>
      <w:tr>
        <w:trPr>
          <w:cantSplit/>
        </w:trPr>
        <w:tc>
          <w:tcPr>
            <w:tcW w:type="dxa" w:w="2551"/>
            <w:shd w:fill="E7EBDD"/>
          </w:tcPr>
          <w:p>
            <w:pPr>
              <w:spacing w:after="60" w:before="40"/>
            </w:pPr>
            <w:r>
              <w:rPr>
                <w:b/>
                <w:sz w:val="18"/>
              </w:rPr>
              <w:t>Preparar</w:t>
            </w:r>
          </w:p>
        </w:tc>
        <w:tc>
          <w:tcPr>
            <w:tcW w:type="dxa" w:w="7200"/>
            <w:shd w:fill="E7EBDD"/>
          </w:tcPr>
          <w:p>
            <w:pPr>
              <w:spacing w:after="60" w:before="40"/>
            </w:pPr>
            <w:r>
              <w:rPr>
                <w:b/>
                <w:sz w:val="18"/>
              </w:rPr>
              <w:t>Cantidad o criterio</w:t>
            </w:r>
          </w:p>
        </w:tc>
      </w:tr>
      <w:tr>
        <w:trPr>
          <w:cantSplit/>
        </w:trPr>
        <w:tc>
          <w:tcPr>
            <w:tcW w:type="dxa" w:w="2551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Madera</w:t>
            </w:r>
          </w:p>
        </w:tc>
        <w:tc>
          <w:tcPr>
            <w:tcW w:type="dxa" w:w="7200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19 piezas con IDs y plantillas propios</w:t>
            </w:r>
          </w:p>
        </w:tc>
      </w:tr>
      <w:tr>
        <w:trPr>
          <w:cantSplit/>
        </w:trPr>
        <w:tc>
          <w:tcPr>
            <w:tcW w:type="dxa" w:w="2551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Fijaciones</w:t>
            </w:r>
          </w:p>
        </w:tc>
        <w:tc>
          <w:tcPr>
            <w:tcW w:type="dxa" w:w="7200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44 tornillos instalados según despiece</w:t>
            </w:r>
          </w:p>
        </w:tc>
      </w:tr>
      <w:tr>
        <w:trPr>
          <w:cantSplit/>
        </w:trPr>
        <w:tc>
          <w:tcPr>
            <w:tcW w:type="dxa" w:w="2551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Luz</w:t>
            </w:r>
          </w:p>
        </w:tc>
        <w:tc>
          <w:tcPr>
            <w:tcW w:type="dxa" w:w="7200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48 píxeles activos y 2 de reserva; ESP32</w:t>
            </w:r>
          </w:p>
        </w:tc>
      </w:tr>
      <w:tr>
        <w:trPr>
          <w:cantSplit/>
        </w:trPr>
        <w:tc>
          <w:tcPr>
            <w:tcW w:type="dxa" w:w="2551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Ensayo</w:t>
            </w:r>
          </w:p>
        </w:tc>
        <w:tc>
          <w:tcPr>
            <w:tcW w:type="dxa" w:w="7200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Prensar ambos pies a un banco estable</w:t>
            </w:r>
          </w:p>
        </w:tc>
      </w:tr>
      <w:tr>
        <w:trPr>
          <w:cantSplit/>
        </w:trPr>
        <w:tc>
          <w:tcPr>
            <w:tcW w:type="dxa" w:w="2551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Materiales orientativos</w:t>
            </w:r>
          </w:p>
        </w:tc>
        <w:tc>
          <w:tcPr>
            <w:tcW w:type="dxa" w:w="7200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ARS 221.277 + 15% = ARS 254.468,55</w:t>
            </w:r>
          </w:p>
        </w:tc>
      </w:tr>
      <w:tr>
        <w:trPr>
          <w:cantSplit/>
        </w:trPr>
        <w:tc>
          <w:tcPr>
            <w:tcW w:type="dxa" w:w="2551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Herramientas opcionales</w:t>
            </w:r>
          </w:p>
        </w:tc>
        <w:tc>
          <w:tcPr>
            <w:tcW w:type="dxa" w:w="7200"/>
            <w:shd w:fill="FAFAF5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Dos prensas: ARS 36.000, sólo si faltan</w:t>
            </w:r>
          </w:p>
        </w:tc>
      </w:tr>
    </w:tbl>
    <w:p>
      <w:r>
        <w:t>Comprar sección real, no sólo medida nominal. Presentar primero una unión y una muestra de píxel; luego cortar, perforar, montar y probar todo el circuito. El presupuesto mezcla referencias de precio y provisiones que deben confirmarse.</w:t>
      </w:r>
    </w:p>
    <w:p>
      <w:pPr>
        <w:spacing w:after="60"/>
      </w:pPr>
      <w:hyperlink r:id="rId15">
        <w:r>
          <w:rPr>
            <w:color w:val="A43126"/>
            <w:sz w:val="19"/>
          </w:rPr>
          <w:t>Despiece, presupuesto y prueba del prototipo  ↗</w:t>
        </w:r>
      </w:hyperlink>
    </w:p>
    <w:p>
      <w:r>
        <w:br w:type="page"/>
      </w:r>
    </w:p>
    <w:p>
      <w:pPr>
        <w:pStyle w:val="Heading1"/>
      </w:pPr>
      <w:r>
        <w:t>Cerrar las uniones antes del corte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364000" cy="33525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3_tecnica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64000" cy="335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Puntera H3 de tres brazos ortogonales. Esquema paramétrico: las cotas del herraje y el tornillo final se obtienen de una pieza real y de su revisión técnica.</w:t>
      </w:r>
    </w:p>
    <w:p>
      <w:pPr>
        <w:pStyle w:val="Heading2"/>
      </w:pPr>
      <w:r>
        <w:t>Cinco verificaciones pendientes de la obra de 3 m</w:t>
      </w:r>
    </w:p>
    <w:p>
      <w:r>
        <w:rPr>
          <w:b/>
        </w:rPr>
        <w:t xml:space="preserve">Medidas de madera y H3. </w:t>
      </w:r>
      <w:r>
        <w:t>Medir alas, espesor, brazos, agujeros, soldaduras y sección real. Resolver el encuentro entre palo de 45 mm y herraje ilustrado para 70 mm.</w:t>
      </w:r>
    </w:p>
    <w:p>
      <w:r>
        <w:rPr>
          <w:b/>
        </w:rPr>
        <w:t xml:space="preserve">Nudos y diagonales. </w:t>
      </w:r>
      <w:r>
        <w:t>Definir apoyos, tornillos y patrones de perforación. Las diagonales inferiores sostienen la mesa; las traseras colaboran con el arriostramiento. No eliminarlas sin revisar el camino de cargas.</w:t>
      </w:r>
    </w:p>
    <w:p>
      <w:r>
        <w:rPr>
          <w:b/>
        </w:rPr>
        <w:t xml:space="preserve">Anclaje al terreno. </w:t>
      </w:r>
      <w:r>
        <w:t>Cerrar una alternativa con anclajes al suelo o una base con lastre, según suelo, viento, huella y montaje. El lastre y la capacidad de extracción no están aprobados todavía.</w:t>
      </w:r>
    </w:p>
    <w:p>
      <w:r>
        <w:rPr>
          <w:b/>
        </w:rPr>
        <w:t xml:space="preserve">Centro y prueba completa. </w:t>
      </w:r>
      <w:r>
        <w:t>Terminar el círculo y sus cuatro apoyos en taller, respetando el radio real. Premontar la obra, verificar las uniones y recién entonces liberar el despiece final.</w:t>
      </w:r>
    </w:p>
    <w:p>
      <w:r>
        <w:rPr>
          <w:b/>
        </w:rPr>
        <w:t xml:space="preserve">Intemperie y desmontaje. </w:t>
      </w:r>
      <w:r>
        <w:t>Proteger conexiones y drenar agua sin encerrar humedad. La eventual quema requiere una decisión y autorización específicas; retirar previamente LED, cables, fuentes y demás componentes recuperables.</w:t>
      </w:r>
    </w:p>
    <w:p>
      <w:pPr>
        <w:spacing w:after="60"/>
      </w:pPr>
      <w:hyperlink r:id="rId18">
        <w:r>
          <w:rPr>
            <w:color w:val="A43126"/>
            <w:sz w:val="19"/>
          </w:rPr>
          <w:t>Hoja H3 y precorte verificable  ↗</w:t>
        </w:r>
      </w:hyperlink>
    </w:p>
    <w:p>
      <w:pPr>
        <w:pStyle w:val="Caption"/>
      </w:pPr>
      <w:r>
        <w:t>Secuencia de cierre: medir → probar nudos → confirmar cortes → premontar → etiquetar → embalar → montar en sitio. El anexo acompaña la documentación técnica; no reemplaza la revisión estructural ni eléctrica del montaje definitivo.</w:t>
      </w:r>
    </w:p>
    <w:sectPr w:rsidR="00FC693F" w:rsidRPr="0006063C" w:rsidSect="00034616">
      <w:footerReference w:type="default" r:id="rId9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CHAKANA  ·  Actualización 11  ·  10 octubre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57665B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hyperlink" Target="https://chakana-tandil-proyecto.wisecloud2.chatgpt.site/" TargetMode="External"/><Relationship Id="rId13" Type="http://schemas.openxmlformats.org/officeDocument/2006/relationships/hyperlink" Target="https://chakana-tandil-proyecto.wisecloud2.chatgpt.site/Fabricacion/index.html" TargetMode="External"/><Relationship Id="rId14" Type="http://schemas.openxmlformats.org/officeDocument/2006/relationships/hyperlink" Target="https://chakana-tandil-proyecto.wisecloud2.chatgpt.site/Fabricacion/empaque.html" TargetMode="External"/><Relationship Id="rId15" Type="http://schemas.openxmlformats.org/officeDocument/2006/relationships/hyperlink" Target="https://chakana-tandil-proyecto.wisecloud2.chatgpt.site/Prototipo_1m/index.html" TargetMode="External"/><Relationship Id="rId16" Type="http://schemas.openxmlformats.org/officeDocument/2006/relationships/image" Target="media/image3.png"/><Relationship Id="rId17" Type="http://schemas.openxmlformats.org/officeDocument/2006/relationships/hyperlink" Target="https://chakana-tandil-proyecto.wisecloud2.chatgpt.site/Fabricacion/Repuestos.html" TargetMode="External"/><Relationship Id="rId18" Type="http://schemas.openxmlformats.org/officeDocument/2006/relationships/hyperlink" Target="https://chakana-tandil-proyecto.wisecloud2.chatgpt.site/Fabricacion/Plan_de_precorte.html" TargetMode="External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hyperlink" Target="https://chakana-tandil-proyecto.wisecloud2.chatgpt.site/Visor_3D.html" TargetMode="External"/><Relationship Id="rId22" Type="http://schemas.openxmlformats.org/officeDocument/2006/relationships/hyperlink" Target="https://chakana-tandil-proyecto.wisecloud2.chatgpt.site/Layout_LED_v11.png" TargetMode="External"/><Relationship Id="rId23" Type="http://schemas.openxmlformats.org/officeDocument/2006/relationships/image" Target="media/image6.png"/><Relationship Id="rId2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Chakana actualización del proyecto</dc:title>
  <dc:subject>Revisión11 de fabricación e iluminación</dc:subject>
  <dc:creator>Proyecto Chakana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